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CD53F5" w14:textId="25CB4B6E" w:rsidR="003E212C" w:rsidRPr="003E212C" w:rsidRDefault="003E212C" w:rsidP="003E212C">
      <w:pPr>
        <w:widowControl w:val="0"/>
        <w:spacing w:after="0" w:line="360" w:lineRule="auto"/>
        <w:ind w:left="720" w:hanging="720"/>
        <w:rPr>
          <w:rFonts w:cstheme="minorHAnsi"/>
          <w:sz w:val="24"/>
          <w:szCs w:val="24"/>
        </w:rPr>
      </w:pPr>
      <w:r w:rsidRPr="003E212C">
        <w:rPr>
          <w:rFonts w:cstheme="minorHAnsi"/>
          <w:snapToGrid w:val="0"/>
          <w:sz w:val="24"/>
          <w:szCs w:val="24"/>
        </w:rPr>
        <w:t xml:space="preserve">Bosworth, K., </w:t>
      </w:r>
      <w:proofErr w:type="spellStart"/>
      <w:r w:rsidRPr="003E212C">
        <w:rPr>
          <w:rFonts w:cstheme="minorHAnsi"/>
          <w:snapToGrid w:val="0"/>
          <w:sz w:val="24"/>
          <w:szCs w:val="24"/>
        </w:rPr>
        <w:t>Espelage</w:t>
      </w:r>
      <w:proofErr w:type="spellEnd"/>
      <w:r w:rsidRPr="003E212C">
        <w:rPr>
          <w:rFonts w:cstheme="minorHAnsi"/>
          <w:snapToGrid w:val="0"/>
          <w:sz w:val="24"/>
          <w:szCs w:val="24"/>
        </w:rPr>
        <w:t>, D.</w:t>
      </w:r>
      <w:r w:rsidRPr="003E212C">
        <w:rPr>
          <w:rFonts w:cstheme="minorHAnsi"/>
          <w:snapToGrid w:val="0"/>
          <w:sz w:val="24"/>
          <w:szCs w:val="24"/>
        </w:rPr>
        <w:t>L.</w:t>
      </w:r>
      <w:r w:rsidRPr="003E212C">
        <w:rPr>
          <w:rFonts w:cstheme="minorHAnsi"/>
          <w:snapToGrid w:val="0"/>
          <w:sz w:val="24"/>
          <w:szCs w:val="24"/>
        </w:rPr>
        <w:t xml:space="preserve">, </w:t>
      </w:r>
      <w:proofErr w:type="spellStart"/>
      <w:r w:rsidRPr="003E212C">
        <w:rPr>
          <w:rFonts w:cstheme="minorHAnsi"/>
          <w:snapToGrid w:val="0"/>
          <w:sz w:val="24"/>
          <w:szCs w:val="24"/>
        </w:rPr>
        <w:t>DuBay</w:t>
      </w:r>
      <w:proofErr w:type="spellEnd"/>
      <w:r w:rsidRPr="003E212C">
        <w:rPr>
          <w:rFonts w:cstheme="minorHAnsi"/>
          <w:snapToGrid w:val="0"/>
          <w:sz w:val="24"/>
          <w:szCs w:val="24"/>
        </w:rPr>
        <w:t xml:space="preserve">, T., Dahlberg, L., &amp; </w:t>
      </w:r>
      <w:proofErr w:type="spellStart"/>
      <w:r w:rsidRPr="003E212C">
        <w:rPr>
          <w:rFonts w:cstheme="minorHAnsi"/>
          <w:snapToGrid w:val="0"/>
          <w:sz w:val="24"/>
          <w:szCs w:val="24"/>
        </w:rPr>
        <w:t>Daytner</w:t>
      </w:r>
      <w:proofErr w:type="spellEnd"/>
      <w:r w:rsidRPr="003E212C">
        <w:rPr>
          <w:rFonts w:cstheme="minorHAnsi"/>
          <w:snapToGrid w:val="0"/>
          <w:sz w:val="24"/>
          <w:szCs w:val="24"/>
        </w:rPr>
        <w:t xml:space="preserve">, G. (1996). Using multimedia to teach </w:t>
      </w:r>
      <w:r w:rsidRPr="003E212C">
        <w:rPr>
          <w:rFonts w:cstheme="minorHAnsi"/>
          <w:sz w:val="24"/>
          <w:szCs w:val="24"/>
        </w:rPr>
        <w:t xml:space="preserve">conflict resolution skills to young adolescents. </w:t>
      </w:r>
      <w:r w:rsidRPr="003E212C">
        <w:rPr>
          <w:rFonts w:cstheme="minorHAnsi"/>
          <w:i/>
          <w:sz w:val="24"/>
          <w:szCs w:val="24"/>
        </w:rPr>
        <w:t>American Journal of Preventive Medicine, 12</w:t>
      </w:r>
      <w:r w:rsidRPr="003E212C">
        <w:rPr>
          <w:rFonts w:cstheme="minorHAnsi"/>
          <w:sz w:val="24"/>
          <w:szCs w:val="24"/>
        </w:rPr>
        <w:t>(5), 65-74.</w:t>
      </w:r>
    </w:p>
    <w:p w14:paraId="3C7CDDA1" w14:textId="40F04201" w:rsidR="00C50122" w:rsidRPr="003E212C" w:rsidRDefault="00C50122" w:rsidP="003E212C">
      <w:pPr>
        <w:pStyle w:val="BodyTextIndent"/>
        <w:spacing w:line="360" w:lineRule="auto"/>
        <w:rPr>
          <w:rFonts w:asciiTheme="minorHAnsi" w:hAnsiTheme="minorHAnsi" w:cstheme="minorHAnsi"/>
          <w:szCs w:val="24"/>
        </w:rPr>
      </w:pPr>
      <w:r w:rsidRPr="003E212C">
        <w:rPr>
          <w:rFonts w:asciiTheme="minorHAnsi" w:hAnsiTheme="minorHAnsi" w:cstheme="minorHAnsi"/>
          <w:szCs w:val="24"/>
        </w:rPr>
        <w:t xml:space="preserve">Bosworth, K., </w:t>
      </w:r>
      <w:proofErr w:type="spellStart"/>
      <w:r w:rsidRPr="003E212C">
        <w:rPr>
          <w:rFonts w:asciiTheme="minorHAnsi" w:hAnsiTheme="minorHAnsi" w:cstheme="minorHAnsi"/>
          <w:szCs w:val="24"/>
        </w:rPr>
        <w:t>Espelage</w:t>
      </w:r>
      <w:proofErr w:type="spellEnd"/>
      <w:r w:rsidRPr="003E212C">
        <w:rPr>
          <w:rFonts w:asciiTheme="minorHAnsi" w:hAnsiTheme="minorHAnsi" w:cstheme="minorHAnsi"/>
          <w:szCs w:val="24"/>
        </w:rPr>
        <w:t xml:space="preserve">, D.L., </w:t>
      </w:r>
      <w:proofErr w:type="spellStart"/>
      <w:r w:rsidRPr="003E212C">
        <w:rPr>
          <w:rFonts w:asciiTheme="minorHAnsi" w:hAnsiTheme="minorHAnsi" w:cstheme="minorHAnsi"/>
          <w:szCs w:val="24"/>
        </w:rPr>
        <w:t>DuBay</w:t>
      </w:r>
      <w:proofErr w:type="spellEnd"/>
      <w:r w:rsidRPr="003E212C">
        <w:rPr>
          <w:rFonts w:asciiTheme="minorHAnsi" w:hAnsiTheme="minorHAnsi" w:cstheme="minorHAnsi"/>
          <w:szCs w:val="24"/>
        </w:rPr>
        <w:t xml:space="preserve">, T., </w:t>
      </w:r>
      <w:proofErr w:type="spellStart"/>
      <w:r w:rsidRPr="003E212C">
        <w:rPr>
          <w:rFonts w:asciiTheme="minorHAnsi" w:hAnsiTheme="minorHAnsi" w:cstheme="minorHAnsi"/>
          <w:szCs w:val="24"/>
        </w:rPr>
        <w:t>Daytner</w:t>
      </w:r>
      <w:proofErr w:type="spellEnd"/>
      <w:r w:rsidRPr="003E212C">
        <w:rPr>
          <w:rFonts w:asciiTheme="minorHAnsi" w:hAnsiTheme="minorHAnsi" w:cstheme="minorHAnsi"/>
          <w:szCs w:val="24"/>
        </w:rPr>
        <w:t xml:space="preserve">, G., &amp; Karageorge, K. (2000). A preliminary evaluation of a multimedia violence prevention program for early adolescence. </w:t>
      </w:r>
      <w:r w:rsidRPr="003E212C">
        <w:rPr>
          <w:rFonts w:asciiTheme="minorHAnsi" w:hAnsiTheme="minorHAnsi" w:cstheme="minorHAnsi"/>
          <w:i/>
          <w:szCs w:val="24"/>
        </w:rPr>
        <w:t>American Journal of Health Behavior, 24</w:t>
      </w:r>
      <w:r w:rsidRPr="003E212C">
        <w:rPr>
          <w:rFonts w:asciiTheme="minorHAnsi" w:hAnsiTheme="minorHAnsi" w:cstheme="minorHAnsi"/>
          <w:szCs w:val="24"/>
        </w:rPr>
        <w:t>(4), 268-280.</w:t>
      </w:r>
    </w:p>
    <w:p w14:paraId="235F0D29" w14:textId="3F2ABA75" w:rsidR="00C50122" w:rsidRPr="003E212C" w:rsidRDefault="00C50122" w:rsidP="003E212C">
      <w:pPr>
        <w:pStyle w:val="BodyTextIndent"/>
        <w:spacing w:line="360" w:lineRule="auto"/>
        <w:rPr>
          <w:rFonts w:asciiTheme="minorHAnsi" w:hAnsiTheme="minorHAnsi" w:cstheme="minorHAnsi"/>
          <w:szCs w:val="24"/>
        </w:rPr>
      </w:pPr>
      <w:r w:rsidRPr="003E212C">
        <w:rPr>
          <w:rFonts w:asciiTheme="minorHAnsi" w:hAnsiTheme="minorHAnsi" w:cstheme="minorHAnsi"/>
          <w:szCs w:val="24"/>
        </w:rPr>
        <w:t xml:space="preserve">Bosworth, K., </w:t>
      </w:r>
      <w:proofErr w:type="spellStart"/>
      <w:r w:rsidRPr="003E212C">
        <w:rPr>
          <w:rFonts w:asciiTheme="minorHAnsi" w:hAnsiTheme="minorHAnsi" w:cstheme="minorHAnsi"/>
          <w:szCs w:val="24"/>
        </w:rPr>
        <w:t>Espelage</w:t>
      </w:r>
      <w:proofErr w:type="spellEnd"/>
      <w:r w:rsidRPr="003E212C">
        <w:rPr>
          <w:rFonts w:asciiTheme="minorHAnsi" w:hAnsiTheme="minorHAnsi" w:cstheme="minorHAnsi"/>
          <w:szCs w:val="24"/>
        </w:rPr>
        <w:t>, D.L., &amp; Simon, T.R. (1999). Factors associated with bullying behavior in middle school students</w:t>
      </w:r>
      <w:r w:rsidRPr="003E212C">
        <w:rPr>
          <w:rFonts w:asciiTheme="minorHAnsi" w:hAnsiTheme="minorHAnsi" w:cstheme="minorHAnsi"/>
          <w:i/>
          <w:szCs w:val="24"/>
        </w:rPr>
        <w:t>. Journal of Early Adolescence, 19</w:t>
      </w:r>
      <w:r w:rsidRPr="003E212C">
        <w:rPr>
          <w:rFonts w:asciiTheme="minorHAnsi" w:hAnsiTheme="minorHAnsi" w:cstheme="minorHAnsi"/>
          <w:szCs w:val="24"/>
        </w:rPr>
        <w:t>(3), 341-362.</w:t>
      </w:r>
    </w:p>
    <w:p w14:paraId="769CF62E" w14:textId="48F74F9F" w:rsidR="00C50122" w:rsidRPr="003E212C" w:rsidRDefault="00C50122" w:rsidP="003E212C">
      <w:pPr>
        <w:spacing w:after="0" w:line="360" w:lineRule="auto"/>
        <w:ind w:left="720" w:hanging="720"/>
        <w:rPr>
          <w:rFonts w:cstheme="minorHAnsi"/>
          <w:sz w:val="24"/>
          <w:szCs w:val="24"/>
        </w:rPr>
      </w:pPr>
      <w:r w:rsidRPr="003E212C">
        <w:rPr>
          <w:rFonts w:cstheme="minorHAnsi"/>
          <w:sz w:val="24"/>
          <w:szCs w:val="24"/>
        </w:rPr>
        <w:t>Bosworth, K., Ford, L. &amp; Hernandez, D. (2011).  School climate factors contributing to student and faculty perceptions of safety and select Arizona schools</w:t>
      </w:r>
      <w:r w:rsidRPr="003E212C">
        <w:rPr>
          <w:rFonts w:cstheme="minorHAnsi"/>
          <w:i/>
          <w:sz w:val="24"/>
          <w:szCs w:val="24"/>
        </w:rPr>
        <w:t>.  Journal of School Health</w:t>
      </w:r>
      <w:r w:rsidRPr="003E212C">
        <w:rPr>
          <w:rFonts w:cstheme="minorHAnsi"/>
          <w:sz w:val="24"/>
          <w:szCs w:val="24"/>
        </w:rPr>
        <w:t>, 81(4),194-201.</w:t>
      </w:r>
    </w:p>
    <w:p w14:paraId="6B3AE324" w14:textId="77777777" w:rsidR="00C50122" w:rsidRPr="003E212C" w:rsidRDefault="00CE5007" w:rsidP="003E212C">
      <w:pPr>
        <w:pStyle w:val="ListParagraph"/>
        <w:spacing w:after="0" w:line="360" w:lineRule="auto"/>
        <w:ind w:hanging="720"/>
        <w:rPr>
          <w:rFonts w:asciiTheme="minorHAnsi" w:hAnsiTheme="minorHAnsi" w:cstheme="minorHAnsi"/>
          <w:sz w:val="24"/>
          <w:szCs w:val="24"/>
        </w:rPr>
      </w:pPr>
      <w:r w:rsidRPr="003E212C">
        <w:rPr>
          <w:rFonts w:asciiTheme="minorHAnsi" w:hAnsiTheme="minorHAnsi" w:cstheme="minorHAnsi"/>
          <w:sz w:val="24"/>
          <w:szCs w:val="24"/>
        </w:rPr>
        <w:t xml:space="preserve">Bosworth, K. &amp; Judkins, M. (2014).  Tapping into the power of school climate to prevent bullying: One application of school wide positive behavior interventions and supports.  </w:t>
      </w:r>
      <w:r w:rsidRPr="003E212C">
        <w:rPr>
          <w:rFonts w:asciiTheme="minorHAnsi" w:hAnsiTheme="minorHAnsi" w:cstheme="minorHAnsi"/>
          <w:i/>
          <w:sz w:val="24"/>
          <w:szCs w:val="24"/>
        </w:rPr>
        <w:t xml:space="preserve">Theory Into Practice, </w:t>
      </w:r>
      <w:r w:rsidRPr="003E212C">
        <w:rPr>
          <w:rFonts w:asciiTheme="minorHAnsi" w:hAnsiTheme="minorHAnsi" w:cstheme="minorHAnsi"/>
          <w:sz w:val="24"/>
          <w:szCs w:val="24"/>
        </w:rPr>
        <w:t>53, (4), 300-307.</w:t>
      </w:r>
      <w:r w:rsidR="00C50122" w:rsidRPr="003E212C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33C585D6" w14:textId="3613D29E" w:rsidR="00C50122" w:rsidRPr="003E212C" w:rsidRDefault="00C50122" w:rsidP="003E212C">
      <w:pPr>
        <w:pStyle w:val="BodyTextIndent"/>
        <w:spacing w:line="360" w:lineRule="auto"/>
        <w:rPr>
          <w:rFonts w:asciiTheme="minorHAnsi" w:hAnsiTheme="minorHAnsi" w:cstheme="minorHAnsi"/>
          <w:szCs w:val="24"/>
        </w:rPr>
      </w:pPr>
      <w:r w:rsidRPr="003E212C">
        <w:rPr>
          <w:rFonts w:asciiTheme="minorHAnsi" w:hAnsiTheme="minorHAnsi" w:cstheme="minorHAnsi"/>
          <w:szCs w:val="24"/>
        </w:rPr>
        <w:t>Bosworth, K. (2002). Talking it out: A computer-based mediation process for adolescents. Technology in Human Services, 20(1/2), 67-81.</w:t>
      </w:r>
    </w:p>
    <w:p w14:paraId="0DAF8D69" w14:textId="77777777" w:rsidR="003E212C" w:rsidRPr="003E212C" w:rsidRDefault="003E212C" w:rsidP="003E212C">
      <w:pPr>
        <w:widowControl w:val="0"/>
        <w:spacing w:after="0" w:line="360" w:lineRule="auto"/>
        <w:ind w:left="720" w:hanging="720"/>
        <w:rPr>
          <w:rFonts w:cstheme="minorHAnsi"/>
          <w:sz w:val="24"/>
          <w:szCs w:val="24"/>
        </w:rPr>
      </w:pPr>
      <w:proofErr w:type="spellStart"/>
      <w:r w:rsidRPr="003E212C">
        <w:rPr>
          <w:rFonts w:cstheme="minorHAnsi"/>
          <w:snapToGrid w:val="0"/>
          <w:sz w:val="24"/>
          <w:szCs w:val="24"/>
        </w:rPr>
        <w:t>Dusenbury</w:t>
      </w:r>
      <w:proofErr w:type="spellEnd"/>
      <w:r w:rsidRPr="003E212C">
        <w:rPr>
          <w:rFonts w:cstheme="minorHAnsi"/>
          <w:snapToGrid w:val="0"/>
          <w:sz w:val="24"/>
          <w:szCs w:val="24"/>
        </w:rPr>
        <w:t xml:space="preserve">, L., Falco, M., Lake, A., Brannigan, R., &amp; Bosworth, K. (1997). Nine critical elements of </w:t>
      </w:r>
      <w:r w:rsidRPr="003E212C">
        <w:rPr>
          <w:rFonts w:cstheme="minorHAnsi"/>
          <w:sz w:val="24"/>
          <w:szCs w:val="24"/>
        </w:rPr>
        <w:t xml:space="preserve">promising violence prevention programs. </w:t>
      </w:r>
      <w:r w:rsidRPr="003E212C">
        <w:rPr>
          <w:rFonts w:cstheme="minorHAnsi"/>
          <w:i/>
          <w:sz w:val="24"/>
          <w:szCs w:val="24"/>
        </w:rPr>
        <w:t>Journal of School Health, 67</w:t>
      </w:r>
      <w:r w:rsidRPr="003E212C">
        <w:rPr>
          <w:rFonts w:cstheme="minorHAnsi"/>
          <w:sz w:val="24"/>
          <w:szCs w:val="24"/>
        </w:rPr>
        <w:t>(10), 409-</w:t>
      </w:r>
      <w:proofErr w:type="gramStart"/>
      <w:r w:rsidRPr="003E212C">
        <w:rPr>
          <w:rFonts w:cstheme="minorHAnsi"/>
          <w:sz w:val="24"/>
          <w:szCs w:val="24"/>
        </w:rPr>
        <w:t>414 .</w:t>
      </w:r>
      <w:proofErr w:type="gramEnd"/>
      <w:r w:rsidRPr="003E212C">
        <w:rPr>
          <w:rFonts w:cstheme="minorHAnsi"/>
          <w:sz w:val="24"/>
          <w:szCs w:val="24"/>
        </w:rPr>
        <w:t xml:space="preserve"> </w:t>
      </w:r>
    </w:p>
    <w:p w14:paraId="23B13963" w14:textId="77777777" w:rsidR="00C50122" w:rsidRPr="003E212C" w:rsidRDefault="00C50122" w:rsidP="003E212C">
      <w:pPr>
        <w:pStyle w:val="BodyText"/>
        <w:spacing w:after="0" w:line="360" w:lineRule="auto"/>
        <w:ind w:left="720" w:hanging="720"/>
        <w:rPr>
          <w:rFonts w:cstheme="minorHAnsi"/>
          <w:sz w:val="24"/>
          <w:szCs w:val="24"/>
        </w:rPr>
      </w:pPr>
      <w:r w:rsidRPr="003E212C">
        <w:rPr>
          <w:rFonts w:cstheme="minorHAnsi"/>
          <w:sz w:val="24"/>
          <w:szCs w:val="24"/>
        </w:rPr>
        <w:t>Eklund, K., Bosworth, K. &amp; Bauman, S. (2015).  Promoting safe schools for all students</w:t>
      </w:r>
      <w:proofErr w:type="gramStart"/>
      <w:r w:rsidRPr="003E212C">
        <w:rPr>
          <w:rFonts w:cstheme="minorHAnsi"/>
          <w:sz w:val="24"/>
          <w:szCs w:val="24"/>
        </w:rPr>
        <w:t>. .</w:t>
      </w:r>
      <w:proofErr w:type="gramEnd"/>
      <w:r w:rsidRPr="003E212C">
        <w:rPr>
          <w:rFonts w:cstheme="minorHAnsi"/>
          <w:sz w:val="24"/>
          <w:szCs w:val="24"/>
        </w:rPr>
        <w:t xml:space="preserve"> In </w:t>
      </w:r>
      <w:proofErr w:type="spellStart"/>
      <w:proofErr w:type="gramStart"/>
      <w:r w:rsidRPr="003E212C">
        <w:rPr>
          <w:rFonts w:cstheme="minorHAnsi"/>
          <w:sz w:val="24"/>
          <w:szCs w:val="24"/>
        </w:rPr>
        <w:t>K.Bosworth</w:t>
      </w:r>
      <w:proofErr w:type="spellEnd"/>
      <w:proofErr w:type="gramEnd"/>
      <w:r w:rsidRPr="003E212C">
        <w:rPr>
          <w:rFonts w:cstheme="minorHAnsi"/>
          <w:sz w:val="24"/>
          <w:szCs w:val="24"/>
        </w:rPr>
        <w:t xml:space="preserve">, (Ed). </w:t>
      </w:r>
      <w:r w:rsidRPr="003E212C">
        <w:rPr>
          <w:rFonts w:cstheme="minorHAnsi"/>
          <w:i/>
          <w:sz w:val="24"/>
          <w:szCs w:val="24"/>
        </w:rPr>
        <w:t>Prevention Science in School Settings: Complex Relationships and Processes.</w:t>
      </w:r>
      <w:r w:rsidRPr="003E212C">
        <w:rPr>
          <w:rFonts w:cstheme="minorHAnsi"/>
          <w:sz w:val="24"/>
          <w:szCs w:val="24"/>
        </w:rPr>
        <w:t xml:space="preserve">  New York:  Springer.</w:t>
      </w:r>
      <w:r w:rsidRPr="003E212C">
        <w:rPr>
          <w:rFonts w:cstheme="minorHAnsi"/>
          <w:sz w:val="24"/>
          <w:szCs w:val="24"/>
        </w:rPr>
        <w:t xml:space="preserve"> </w:t>
      </w:r>
    </w:p>
    <w:p w14:paraId="37BBE891" w14:textId="60F345A2" w:rsidR="00C50122" w:rsidRPr="003E212C" w:rsidRDefault="00C50122" w:rsidP="003E212C">
      <w:pPr>
        <w:pStyle w:val="BodyText"/>
        <w:spacing w:after="0" w:line="360" w:lineRule="auto"/>
        <w:ind w:left="720" w:hanging="720"/>
        <w:rPr>
          <w:rFonts w:cstheme="minorHAnsi"/>
          <w:sz w:val="24"/>
          <w:szCs w:val="24"/>
        </w:rPr>
      </w:pPr>
      <w:proofErr w:type="spellStart"/>
      <w:r w:rsidRPr="003E212C">
        <w:rPr>
          <w:rFonts w:cstheme="minorHAnsi"/>
          <w:sz w:val="24"/>
          <w:szCs w:val="24"/>
        </w:rPr>
        <w:t>Espelage</w:t>
      </w:r>
      <w:proofErr w:type="spellEnd"/>
      <w:r w:rsidRPr="003E212C">
        <w:rPr>
          <w:rFonts w:cstheme="minorHAnsi"/>
          <w:sz w:val="24"/>
          <w:szCs w:val="24"/>
        </w:rPr>
        <w:t xml:space="preserve">, D.L., Bosworth, K., &amp; Simon, T.R. (2001). Short-term stability and change of bullying in middle school students: An examination of potential demographic, psychosocial, and environmental correlates. </w:t>
      </w:r>
      <w:r w:rsidRPr="003E212C">
        <w:rPr>
          <w:rFonts w:cstheme="minorHAnsi"/>
          <w:i/>
          <w:sz w:val="24"/>
          <w:szCs w:val="24"/>
        </w:rPr>
        <w:t>Violence and Victims</w:t>
      </w:r>
      <w:r w:rsidRPr="003E212C">
        <w:rPr>
          <w:rFonts w:cstheme="minorHAnsi"/>
          <w:sz w:val="24"/>
          <w:szCs w:val="24"/>
        </w:rPr>
        <w:t>, 16(4), 411-426.</w:t>
      </w:r>
    </w:p>
    <w:p w14:paraId="3E97258E" w14:textId="77777777" w:rsidR="00CE5007" w:rsidRPr="003E212C" w:rsidRDefault="00CE5007" w:rsidP="003E212C">
      <w:pPr>
        <w:spacing w:after="0" w:line="360" w:lineRule="auto"/>
        <w:ind w:left="720" w:hanging="720"/>
        <w:rPr>
          <w:rFonts w:cstheme="minorHAnsi"/>
          <w:sz w:val="24"/>
          <w:szCs w:val="24"/>
        </w:rPr>
      </w:pPr>
      <w:r w:rsidRPr="003E212C">
        <w:rPr>
          <w:rFonts w:cstheme="minorHAnsi"/>
          <w:sz w:val="24"/>
          <w:szCs w:val="24"/>
        </w:rPr>
        <w:t xml:space="preserve">Hernandez, D, Bosworth, K. </w:t>
      </w:r>
      <w:r w:rsidR="00965FDF" w:rsidRPr="003E212C">
        <w:rPr>
          <w:rFonts w:cstheme="minorHAnsi"/>
          <w:sz w:val="24"/>
          <w:szCs w:val="24"/>
        </w:rPr>
        <w:t xml:space="preserve">&amp; </w:t>
      </w:r>
      <w:proofErr w:type="spellStart"/>
      <w:r w:rsidR="00965FDF" w:rsidRPr="003E212C">
        <w:rPr>
          <w:rFonts w:cstheme="minorHAnsi"/>
          <w:sz w:val="24"/>
          <w:szCs w:val="24"/>
        </w:rPr>
        <w:t>Floden</w:t>
      </w:r>
      <w:proofErr w:type="spellEnd"/>
      <w:r w:rsidR="00965FDF" w:rsidRPr="003E212C">
        <w:rPr>
          <w:rFonts w:cstheme="minorHAnsi"/>
          <w:sz w:val="24"/>
          <w:szCs w:val="24"/>
        </w:rPr>
        <w:t>, L. (2010).  Multiple p</w:t>
      </w:r>
      <w:r w:rsidRPr="003E212C">
        <w:rPr>
          <w:rFonts w:cstheme="minorHAnsi"/>
          <w:sz w:val="24"/>
          <w:szCs w:val="24"/>
        </w:rPr>
        <w:t>erspecti</w:t>
      </w:r>
      <w:r w:rsidR="00965FDF" w:rsidRPr="003E212C">
        <w:rPr>
          <w:rFonts w:cstheme="minorHAnsi"/>
          <w:sz w:val="24"/>
          <w:szCs w:val="24"/>
        </w:rPr>
        <w:t>ves on school s</w:t>
      </w:r>
      <w:r w:rsidRPr="003E212C">
        <w:rPr>
          <w:rFonts w:cstheme="minorHAnsi"/>
          <w:sz w:val="24"/>
          <w:szCs w:val="24"/>
        </w:rPr>
        <w:t xml:space="preserve">afety: </w:t>
      </w:r>
    </w:p>
    <w:p w14:paraId="345DE05A" w14:textId="55AC51A0" w:rsidR="00CE5007" w:rsidRPr="003E212C" w:rsidRDefault="00965FDF" w:rsidP="003E212C">
      <w:pPr>
        <w:spacing w:after="0" w:line="360" w:lineRule="auto"/>
        <w:ind w:left="720" w:hanging="720"/>
        <w:rPr>
          <w:rFonts w:cstheme="minorHAnsi"/>
          <w:sz w:val="24"/>
          <w:szCs w:val="24"/>
        </w:rPr>
      </w:pPr>
      <w:r w:rsidRPr="003E212C">
        <w:rPr>
          <w:rFonts w:cstheme="minorHAnsi"/>
          <w:sz w:val="24"/>
          <w:szCs w:val="24"/>
        </w:rPr>
        <w:tab/>
        <w:t>p</w:t>
      </w:r>
      <w:r w:rsidR="00CE5007" w:rsidRPr="003E212C">
        <w:rPr>
          <w:rFonts w:cstheme="minorHAnsi"/>
          <w:sz w:val="24"/>
          <w:szCs w:val="24"/>
        </w:rPr>
        <w:t>erceptions and police reports</w:t>
      </w:r>
      <w:r w:rsidR="00CE5007" w:rsidRPr="003E212C">
        <w:rPr>
          <w:rFonts w:cstheme="minorHAnsi"/>
          <w:i/>
          <w:sz w:val="24"/>
          <w:szCs w:val="24"/>
        </w:rPr>
        <w:t>.  Journal of School Violence,</w:t>
      </w:r>
      <w:r w:rsidR="00CE5007" w:rsidRPr="003E212C">
        <w:rPr>
          <w:rFonts w:cstheme="minorHAnsi"/>
          <w:sz w:val="24"/>
          <w:szCs w:val="24"/>
        </w:rPr>
        <w:t xml:space="preserve"> 9, 357-374.  </w:t>
      </w:r>
    </w:p>
    <w:p w14:paraId="4C7EDEDC" w14:textId="77777777" w:rsidR="00CE5007" w:rsidRPr="003E212C" w:rsidRDefault="00CE5007" w:rsidP="00873DF0">
      <w:pPr>
        <w:spacing w:after="0" w:line="360" w:lineRule="auto"/>
        <w:rPr>
          <w:rFonts w:cstheme="minorHAnsi"/>
          <w:sz w:val="24"/>
          <w:szCs w:val="24"/>
        </w:rPr>
      </w:pPr>
    </w:p>
    <w:sectPr w:rsidR="00CE5007" w:rsidRPr="003E21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5EDC"/>
    <w:rsid w:val="001D68FF"/>
    <w:rsid w:val="003E212C"/>
    <w:rsid w:val="0048240A"/>
    <w:rsid w:val="006B6A71"/>
    <w:rsid w:val="00805EDC"/>
    <w:rsid w:val="00873DF0"/>
    <w:rsid w:val="00965FDF"/>
    <w:rsid w:val="00C50122"/>
    <w:rsid w:val="00CD1DCE"/>
    <w:rsid w:val="00CE5007"/>
    <w:rsid w:val="00CF5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8D8C09"/>
  <w15:chartTrackingRefBased/>
  <w15:docId w15:val="{76FD00E9-2B5F-4E63-A786-B3A8B41D0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5007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paragraph" w:styleId="BodyTextIndent">
    <w:name w:val="Body Text Indent"/>
    <w:basedOn w:val="Normal"/>
    <w:link w:val="BodyTextIndentChar"/>
    <w:rsid w:val="00CE5007"/>
    <w:pPr>
      <w:widowControl w:val="0"/>
      <w:spacing w:after="0" w:line="240" w:lineRule="auto"/>
      <w:ind w:left="720" w:hanging="720"/>
    </w:pPr>
    <w:rPr>
      <w:rFonts w:ascii="Times New Roman" w:eastAsia="Times New Roman" w:hAnsi="Times New Roman" w:cs="Times New Roman"/>
      <w:snapToGrid w:val="0"/>
      <w:sz w:val="24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CE5007"/>
    <w:rPr>
      <w:rFonts w:ascii="Times New Roman" w:eastAsia="Times New Roman" w:hAnsi="Times New Roman" w:cs="Times New Roman"/>
      <w:snapToGrid w:val="0"/>
      <w:sz w:val="24"/>
      <w:szCs w:val="20"/>
    </w:rPr>
  </w:style>
  <w:style w:type="paragraph" w:styleId="BodyTextIndent2">
    <w:name w:val="Body Text Indent 2"/>
    <w:basedOn w:val="Normal"/>
    <w:link w:val="BodyTextIndent2Char"/>
    <w:rsid w:val="00CE5007"/>
    <w:pPr>
      <w:widowControl w:val="0"/>
      <w:spacing w:after="0" w:line="240" w:lineRule="auto"/>
      <w:ind w:left="720"/>
    </w:pPr>
    <w:rPr>
      <w:rFonts w:ascii="Times New Roman" w:eastAsia="Times New Roman" w:hAnsi="Times New Roman" w:cs="Times New Roman"/>
      <w:snapToGrid w:val="0"/>
      <w:sz w:val="24"/>
      <w:szCs w:val="20"/>
    </w:rPr>
  </w:style>
  <w:style w:type="character" w:customStyle="1" w:styleId="BodyTextIndent2Char">
    <w:name w:val="Body Text Indent 2 Char"/>
    <w:basedOn w:val="DefaultParagraphFont"/>
    <w:link w:val="BodyTextIndent2"/>
    <w:rsid w:val="00CE5007"/>
    <w:rPr>
      <w:rFonts w:ascii="Times New Roman" w:eastAsia="Times New Roman" w:hAnsi="Times New Roman" w:cs="Times New Roman"/>
      <w:snapToGrid w:val="0"/>
      <w:sz w:val="24"/>
      <w:szCs w:val="20"/>
    </w:rPr>
  </w:style>
  <w:style w:type="paragraph" w:styleId="BodyText">
    <w:name w:val="Body Text"/>
    <w:basedOn w:val="Normal"/>
    <w:link w:val="BodyTextChar"/>
    <w:uiPriority w:val="99"/>
    <w:unhideWhenUsed/>
    <w:rsid w:val="00CE500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CE50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195</Words>
  <Characters>1762</Characters>
  <Application>Microsoft Office Word</Application>
  <DocSecurity>0</DocSecurity>
  <Lines>195</Lines>
  <Paragraphs>195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Bosworth, Laura K - (boswortk)</dc:creator>
  <cp:keywords/>
  <dc:description/>
  <cp:lastModifiedBy>Randall, Austin - (austinrandall)</cp:lastModifiedBy>
  <cp:revision>5</cp:revision>
  <cp:lastPrinted>2023-05-02T20:02:00Z</cp:lastPrinted>
  <dcterms:created xsi:type="dcterms:W3CDTF">2023-05-02T21:39:00Z</dcterms:created>
  <dcterms:modified xsi:type="dcterms:W3CDTF">2023-06-29T19:20:00Z</dcterms:modified>
</cp:coreProperties>
</file>